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BD" w:rsidRDefault="00C60D2A" w:rsidP="00C437BD">
      <w:r>
        <w:rPr>
          <w:noProof/>
          <w:lang w:eastAsia="sk-SK"/>
        </w:rPr>
        <w:drawing>
          <wp:anchor distT="0" distB="0" distL="114300" distR="114300" simplePos="0" relativeHeight="251658240" behindDoc="0" locked="0" layoutInCell="1" allowOverlap="1">
            <wp:simplePos x="0" y="0"/>
            <wp:positionH relativeFrom="column">
              <wp:posOffset>-13970</wp:posOffset>
            </wp:positionH>
            <wp:positionV relativeFrom="paragraph">
              <wp:posOffset>157480</wp:posOffset>
            </wp:positionV>
            <wp:extent cx="4505325" cy="1276350"/>
            <wp:effectExtent l="19050" t="0" r="9525" b="0"/>
            <wp:wrapNone/>
            <wp:docPr id="2" name="Obrázok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a:hlinkClick r:id="rId4"/>
                    </pic:cNvPr>
                    <pic:cNvPicPr>
                      <a:picLocks noChangeAspect="1" noChangeArrowheads="1"/>
                    </pic:cNvPicPr>
                  </pic:nvPicPr>
                  <pic:blipFill>
                    <a:blip r:embed="rId5" cstate="print"/>
                    <a:srcRect/>
                    <a:stretch>
                      <a:fillRect/>
                    </a:stretch>
                  </pic:blipFill>
                  <pic:spPr bwMode="auto">
                    <a:xfrm>
                      <a:off x="0" y="0"/>
                      <a:ext cx="4505325" cy="1276350"/>
                    </a:xfrm>
                    <a:prstGeom prst="rect">
                      <a:avLst/>
                    </a:prstGeom>
                    <a:noFill/>
                  </pic:spPr>
                </pic:pic>
              </a:graphicData>
            </a:graphic>
          </wp:anchor>
        </w:drawing>
      </w:r>
    </w:p>
    <w:tbl>
      <w:tblPr>
        <w:tblW w:w="7100" w:type="dxa"/>
        <w:tblInd w:w="70" w:type="dxa"/>
        <w:tblCellMar>
          <w:left w:w="0" w:type="dxa"/>
          <w:right w:w="0" w:type="dxa"/>
        </w:tblCellMar>
        <w:tblLook w:val="04A0"/>
      </w:tblPr>
      <w:tblGrid>
        <w:gridCol w:w="7100"/>
      </w:tblGrid>
      <w:tr w:rsidR="00C437BD" w:rsidTr="00C437BD">
        <w:trPr>
          <w:trHeight w:val="2100"/>
        </w:trPr>
        <w:tc>
          <w:tcPr>
            <w:tcW w:w="7100" w:type="dxa"/>
            <w:noWrap/>
            <w:tcMar>
              <w:top w:w="0" w:type="dxa"/>
              <w:left w:w="70" w:type="dxa"/>
              <w:bottom w:w="0" w:type="dxa"/>
              <w:right w:w="70" w:type="dxa"/>
            </w:tcMar>
            <w:vAlign w:val="bottom"/>
          </w:tcPr>
          <w:p w:rsidR="00C437BD" w:rsidRDefault="00C437BD">
            <w:pPr>
              <w:spacing w:line="276" w:lineRule="auto"/>
              <w:rPr>
                <w:color w:val="000000"/>
                <w:lang w:val="en-GB"/>
              </w:rPr>
            </w:pPr>
          </w:p>
          <w:tbl>
            <w:tblPr>
              <w:tblW w:w="0" w:type="auto"/>
              <w:tblCellSpacing w:w="0" w:type="dxa"/>
              <w:tblCellMar>
                <w:left w:w="0" w:type="dxa"/>
                <w:right w:w="0" w:type="dxa"/>
              </w:tblCellMar>
              <w:tblLook w:val="04A0"/>
            </w:tblPr>
            <w:tblGrid>
              <w:gridCol w:w="6960"/>
            </w:tblGrid>
            <w:tr w:rsidR="00C437BD">
              <w:trPr>
                <w:trHeight w:val="2100"/>
                <w:tblCellSpacing w:w="0" w:type="dxa"/>
              </w:trPr>
              <w:tc>
                <w:tcPr>
                  <w:tcW w:w="6960" w:type="dxa"/>
                  <w:noWrap/>
                  <w:vAlign w:val="bottom"/>
                  <w:hideMark/>
                </w:tcPr>
                <w:p w:rsidR="00C437BD" w:rsidRDefault="00C437BD">
                  <w:pPr>
                    <w:rPr>
                      <w:rFonts w:asciiTheme="minorHAnsi" w:eastAsiaTheme="minorEastAsia" w:hAnsiTheme="minorHAnsi" w:cstheme="minorBidi"/>
                      <w:lang w:eastAsia="sk-SK"/>
                    </w:rPr>
                  </w:pPr>
                </w:p>
              </w:tc>
            </w:tr>
          </w:tbl>
          <w:p w:rsidR="00C437BD" w:rsidRDefault="00C437BD">
            <w:pPr>
              <w:spacing w:line="276" w:lineRule="auto"/>
              <w:rPr>
                <w:lang w:val="en-GB"/>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rPr>
                <w:rFonts w:asciiTheme="minorHAnsi" w:eastAsiaTheme="minorEastAsia" w:hAnsiTheme="minorHAnsi" w:cstheme="minorBidi"/>
                <w:lang w:eastAsia="sk-SK"/>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spacing w:line="276" w:lineRule="auto"/>
              <w:rPr>
                <w:color w:val="0F243E"/>
                <w:lang w:val="en-GB"/>
              </w:rPr>
            </w:pPr>
            <w:r>
              <w:rPr>
                <w:color w:val="0F243E"/>
                <w:lang w:val="en-GB"/>
              </w:rPr>
              <w:t>Dear Madame, Dear Sir,</w:t>
            </w: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rPr>
                <w:rFonts w:asciiTheme="minorHAnsi" w:eastAsiaTheme="minorEastAsia" w:hAnsiTheme="minorHAnsi" w:cstheme="minorBidi"/>
                <w:lang w:eastAsia="sk-SK"/>
              </w:rPr>
            </w:pPr>
          </w:p>
        </w:tc>
      </w:tr>
      <w:tr w:rsidR="00C437BD" w:rsidTr="00C437BD">
        <w:trPr>
          <w:trHeight w:val="1500"/>
        </w:trPr>
        <w:tc>
          <w:tcPr>
            <w:tcW w:w="7100" w:type="dxa"/>
            <w:tcMar>
              <w:top w:w="0" w:type="dxa"/>
              <w:left w:w="70" w:type="dxa"/>
              <w:bottom w:w="0" w:type="dxa"/>
              <w:right w:w="70" w:type="dxa"/>
            </w:tcMar>
            <w:vAlign w:val="bottom"/>
            <w:hideMark/>
          </w:tcPr>
          <w:p w:rsidR="00C437BD" w:rsidRDefault="00C437BD" w:rsidP="00C437BD">
            <w:pPr>
              <w:spacing w:line="276" w:lineRule="auto"/>
              <w:jc w:val="both"/>
              <w:rPr>
                <w:color w:val="222A35"/>
                <w:lang w:val="en-GB"/>
              </w:rPr>
            </w:pPr>
            <w:r>
              <w:rPr>
                <w:color w:val="0F243E"/>
                <w:lang w:val="en-GB"/>
              </w:rPr>
              <w:t xml:space="preserve">We are honoured to invite you to the international conference   </w:t>
            </w:r>
            <w:r>
              <w:rPr>
                <w:b/>
                <w:bCs/>
                <w:color w:val="000000"/>
                <w:lang w:val="en-GB"/>
              </w:rPr>
              <w:t>“Re-Industrialisation of the European Union”</w:t>
            </w:r>
            <w:r>
              <w:rPr>
                <w:color w:val="000000"/>
                <w:lang w:val="en-GB"/>
              </w:rPr>
              <w:t xml:space="preserve">  –  </w:t>
            </w:r>
            <w:hyperlink r:id="rId6" w:history="1">
              <w:r>
                <w:rPr>
                  <w:rStyle w:val="Hypertextovprepojenie"/>
                  <w:lang w:val="en-GB"/>
                </w:rPr>
                <w:t>www.reineu2016.e</w:t>
              </w:r>
              <w:r>
                <w:rPr>
                  <w:rStyle w:val="Hypertextovprepojenie"/>
                  <w:lang w:val="en-GB"/>
                </w:rPr>
                <w:t>u</w:t>
              </w:r>
              <w:r>
                <w:rPr>
                  <w:rStyle w:val="Hypertextovprepojenie"/>
                  <w:lang w:val="en-GB"/>
                </w:rPr>
                <w:t xml:space="preserve"> </w:t>
              </w:r>
            </w:hyperlink>
            <w:r>
              <w:rPr>
                <w:color w:val="000000"/>
                <w:lang w:val="en-GB"/>
              </w:rPr>
              <w:t xml:space="preserve">,  </w:t>
            </w:r>
            <w:r>
              <w:rPr>
                <w:color w:val="0F243E"/>
                <w:lang w:val="en-GB"/>
              </w:rPr>
              <w:t>one of the largest events associated with the Slovak presidency of the Council of the European Union taking place in</w:t>
            </w:r>
            <w:r>
              <w:rPr>
                <w:color w:val="000000"/>
                <w:lang w:val="en-GB"/>
              </w:rPr>
              <w:t xml:space="preserve"> </w:t>
            </w:r>
            <w:r w:rsidRPr="00C437BD">
              <w:rPr>
                <w:b/>
                <w:bCs/>
                <w:color w:val="000000"/>
                <w:u w:val="single"/>
                <w:lang w:val="en-GB"/>
              </w:rPr>
              <w:t>Bratislava, Slovakia on 26-28 October 2016</w:t>
            </w:r>
            <w:r w:rsidRPr="00C437BD">
              <w:rPr>
                <w:b/>
                <w:color w:val="000000"/>
                <w:u w:val="single"/>
                <w:lang w:val="en-GB"/>
              </w:rPr>
              <w:t>.</w:t>
            </w:r>
            <w:r>
              <w:rPr>
                <w:color w:val="000000"/>
                <w:lang w:val="en-GB"/>
              </w:rPr>
              <w:t xml:space="preserve">  </w:t>
            </w:r>
            <w:r>
              <w:rPr>
                <w:color w:val="0F243E"/>
                <w:lang w:val="en-GB"/>
              </w:rPr>
              <w:t>Please find attached the official invitation</w:t>
            </w:r>
            <w:r>
              <w:rPr>
                <w:color w:val="000000"/>
                <w:lang w:val="en-GB"/>
              </w:rPr>
              <w:t>.</w:t>
            </w:r>
            <w:r>
              <w:rPr>
                <w:color w:val="222A35"/>
                <w:lang w:val="en-GB"/>
              </w:rPr>
              <w:t xml:space="preserve"> </w:t>
            </w:r>
          </w:p>
          <w:p w:rsidR="00C437BD" w:rsidRDefault="00C437BD" w:rsidP="00C437BD">
            <w:pPr>
              <w:spacing w:line="276" w:lineRule="auto"/>
              <w:jc w:val="both"/>
              <w:rPr>
                <w:color w:val="000000"/>
                <w:lang w:val="en-GB"/>
              </w:rPr>
            </w:pPr>
          </w:p>
        </w:tc>
      </w:tr>
      <w:tr w:rsidR="00C437BD" w:rsidTr="00C437BD">
        <w:trPr>
          <w:trHeight w:val="2100"/>
        </w:trPr>
        <w:tc>
          <w:tcPr>
            <w:tcW w:w="7100" w:type="dxa"/>
            <w:tcMar>
              <w:top w:w="0" w:type="dxa"/>
              <w:left w:w="70" w:type="dxa"/>
              <w:bottom w:w="0" w:type="dxa"/>
              <w:right w:w="70" w:type="dxa"/>
            </w:tcMar>
            <w:vAlign w:val="bottom"/>
            <w:hideMark/>
          </w:tcPr>
          <w:p w:rsidR="00C437BD" w:rsidRDefault="00C437BD" w:rsidP="00C437BD">
            <w:pPr>
              <w:spacing w:line="276" w:lineRule="auto"/>
              <w:jc w:val="both"/>
              <w:rPr>
                <w:lang w:val="en-GB"/>
              </w:rPr>
            </w:pPr>
            <w:r>
              <w:rPr>
                <w:lang w:val="en-GB"/>
              </w:rPr>
              <w:t xml:space="preserve">The new technologies and materials represent essential inputs for any industrial activity and many industrial sectors will undergo a transformational change to high tech, by digitisation of processes and provided services. Human resources will need to be trained and motivated appropriately for this change and the existing workforce will be retrained. The resources utilisation will be fully optimised and </w:t>
            </w:r>
            <w:proofErr w:type="spellStart"/>
            <w:r>
              <w:rPr>
                <w:lang w:val="en-GB"/>
              </w:rPr>
              <w:t>byproducts</w:t>
            </w:r>
            <w:proofErr w:type="spellEnd"/>
            <w:r>
              <w:rPr>
                <w:lang w:val="en-GB"/>
              </w:rPr>
              <w:t xml:space="preserve"> will be transformed to valuable raw materials.</w:t>
            </w:r>
            <w:r>
              <w:rPr>
                <w:color w:val="222A35"/>
                <w:lang w:val="en-GB"/>
              </w:rPr>
              <w:t xml:space="preserve"> The conference aim is to present trends, opportunities and success cases as well as policy recommendations for barrier removal.</w:t>
            </w:r>
          </w:p>
          <w:p w:rsidR="00C437BD" w:rsidRDefault="00C437BD" w:rsidP="00C437BD">
            <w:pPr>
              <w:jc w:val="both"/>
              <w:rPr>
                <w:lang w:val="en-GB"/>
              </w:rPr>
            </w:pPr>
          </w:p>
          <w:p w:rsidR="00C437BD" w:rsidRDefault="00C437BD" w:rsidP="00C437BD">
            <w:pPr>
              <w:jc w:val="both"/>
              <w:rPr>
                <w:color w:val="0F243E"/>
                <w:lang w:val="en-GB"/>
              </w:rPr>
            </w:pPr>
            <w:r>
              <w:rPr>
                <w:color w:val="0F243E"/>
                <w:lang w:val="en-GB"/>
              </w:rPr>
              <w:t xml:space="preserve">You can find more information about the event and the </w:t>
            </w:r>
            <w:r w:rsidRPr="00C437BD">
              <w:rPr>
                <w:b/>
                <w:color w:val="0F243E"/>
                <w:u w:val="single"/>
                <w:lang w:val="en-GB"/>
              </w:rPr>
              <w:t>registration</w:t>
            </w:r>
            <w:r>
              <w:rPr>
                <w:b/>
                <w:color w:val="0F243E"/>
                <w:lang w:val="en-GB"/>
              </w:rPr>
              <w:t xml:space="preserve"> </w:t>
            </w:r>
            <w:r>
              <w:rPr>
                <w:color w:val="0F243E"/>
                <w:lang w:val="en-GB"/>
              </w:rPr>
              <w:t xml:space="preserve">on the </w:t>
            </w:r>
            <w:hyperlink r:id="rId7" w:history="1">
              <w:r>
                <w:rPr>
                  <w:rStyle w:val="Hypertextovprepojenie"/>
                  <w:lang w:val="en-GB"/>
                </w:rPr>
                <w:t>website</w:t>
              </w:r>
            </w:hyperlink>
            <w:r>
              <w:rPr>
                <w:color w:val="0F243E"/>
                <w:lang w:val="en-GB"/>
              </w:rPr>
              <w:t xml:space="preserve">, or contact the organisers directly at </w:t>
            </w:r>
            <w:hyperlink r:id="rId8" w:history="1">
              <w:r w:rsidRPr="0082445B">
                <w:rPr>
                  <w:rStyle w:val="Hypertextovprepojenie"/>
                  <w:lang w:val="en-GB"/>
                </w:rPr>
                <w:t>reineu2016</w:t>
              </w:r>
              <w:r w:rsidRPr="0082445B">
                <w:rPr>
                  <w:rStyle w:val="Hypertextovprepojenie"/>
                  <w:lang w:val="en-US"/>
                </w:rPr>
                <w:t>@</w:t>
              </w:r>
              <w:proofErr w:type="spellStart"/>
              <w:r w:rsidRPr="0082445B">
                <w:rPr>
                  <w:rStyle w:val="Hypertextovprepojenie"/>
                </w:rPr>
                <w:t>cvtisr.sk</w:t>
              </w:r>
              <w:proofErr w:type="spellEnd"/>
            </w:hyperlink>
            <w:r>
              <w:rPr>
                <w:color w:val="0F243E"/>
              </w:rPr>
              <w:t xml:space="preserve"> </w:t>
            </w:r>
            <w:r>
              <w:rPr>
                <w:color w:val="0F243E"/>
                <w:lang w:val="en-GB"/>
              </w:rPr>
              <w:t xml:space="preserve">for more possibilities to </w:t>
            </w:r>
            <w:r w:rsidRPr="00C437BD">
              <w:rPr>
                <w:b/>
                <w:color w:val="0F243E"/>
                <w:u w:val="single"/>
                <w:lang w:val="en-GB"/>
              </w:rPr>
              <w:t xml:space="preserve">promote your </w:t>
            </w:r>
            <w:r w:rsidR="00452E18">
              <w:rPr>
                <w:b/>
                <w:color w:val="0F243E"/>
                <w:u w:val="single"/>
                <w:lang w:val="en-GB"/>
              </w:rPr>
              <w:t>institution/</w:t>
            </w:r>
            <w:r w:rsidRPr="00C437BD">
              <w:rPr>
                <w:b/>
                <w:color w:val="0F243E"/>
                <w:u w:val="single"/>
                <w:lang w:val="en-GB"/>
              </w:rPr>
              <w:t>company</w:t>
            </w:r>
            <w:r>
              <w:rPr>
                <w:color w:val="0F243E"/>
                <w:lang w:val="en-GB"/>
              </w:rPr>
              <w:t xml:space="preserve"> (booth, poster, extra workshop, etc.)</w:t>
            </w:r>
          </w:p>
          <w:p w:rsidR="00C437BD" w:rsidRDefault="00C437BD" w:rsidP="00C437BD">
            <w:pPr>
              <w:jc w:val="both"/>
              <w:rPr>
                <w:color w:val="000000"/>
                <w:lang w:val="en-GB"/>
              </w:rPr>
            </w:pPr>
            <w:r>
              <w:rPr>
                <w:color w:val="0F243E"/>
                <w:lang w:val="en-GB"/>
              </w:rPr>
              <w:t>Looking forward to meet you in Bratislava.</w:t>
            </w: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rPr>
                <w:rFonts w:asciiTheme="minorHAnsi" w:eastAsiaTheme="minorEastAsia" w:hAnsiTheme="minorHAnsi" w:cstheme="minorBidi"/>
                <w:lang w:eastAsia="sk-SK"/>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rsidP="00C60D2A">
            <w:pPr>
              <w:spacing w:line="276" w:lineRule="auto"/>
              <w:rPr>
                <w:rFonts w:ascii="Tahoma" w:hAnsi="Tahoma" w:cs="Tahoma"/>
                <w:color w:val="17365D"/>
                <w:sz w:val="20"/>
                <w:szCs w:val="20"/>
                <w:lang w:val="en-GB"/>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spacing w:line="276" w:lineRule="auto"/>
              <w:rPr>
                <w:rFonts w:ascii="Tahoma" w:hAnsi="Tahoma" w:cs="Tahoma"/>
                <w:b/>
                <w:bCs/>
                <w:color w:val="17365D"/>
                <w:sz w:val="20"/>
                <w:szCs w:val="20"/>
                <w:lang w:val="en-GB"/>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spacing w:line="276" w:lineRule="auto"/>
              <w:rPr>
                <w:rFonts w:ascii="Tahoma" w:hAnsi="Tahoma" w:cs="Tahoma"/>
                <w:color w:val="17365D"/>
                <w:sz w:val="20"/>
                <w:szCs w:val="20"/>
                <w:lang w:val="en-GB"/>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rPr>
                <w:rFonts w:asciiTheme="minorHAnsi" w:eastAsiaTheme="minorEastAsia" w:hAnsiTheme="minorHAnsi" w:cstheme="minorBidi"/>
                <w:lang w:eastAsia="sk-SK"/>
              </w:rPr>
            </w:pPr>
          </w:p>
        </w:tc>
      </w:tr>
      <w:tr w:rsidR="00C437BD" w:rsidTr="00C437BD">
        <w:trPr>
          <w:trHeight w:val="1170"/>
        </w:trPr>
        <w:tc>
          <w:tcPr>
            <w:tcW w:w="7100" w:type="dxa"/>
            <w:noWrap/>
            <w:tcMar>
              <w:top w:w="0" w:type="dxa"/>
              <w:left w:w="70" w:type="dxa"/>
              <w:bottom w:w="0" w:type="dxa"/>
              <w:right w:w="70" w:type="dxa"/>
            </w:tcMar>
            <w:vAlign w:val="bottom"/>
            <w:hideMark/>
          </w:tcPr>
          <w:p w:rsidR="00C437BD" w:rsidRDefault="00C437BD">
            <w:pPr>
              <w:spacing w:line="276" w:lineRule="auto"/>
              <w:rPr>
                <w:color w:val="000000"/>
                <w:lang w:val="en-US"/>
              </w:rPr>
            </w:pPr>
            <w:r>
              <w:rPr>
                <w:noProof/>
                <w:lang w:eastAsia="sk-SK"/>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4362450" cy="685800"/>
                  <wp:effectExtent l="19050" t="0" r="0" b="0"/>
                  <wp:wrapNone/>
                  <wp:docPr id="3" name="Obrázok 4" descr="cid:image002.jpg@01D1A7C3.9147ACF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id:image002.jpg@01D1A7C3.9147ACF0">
                            <a:hlinkClick r:id="rId7"/>
                          </pic:cNvPr>
                          <pic:cNvPicPr>
                            <a:picLocks noChangeAspect="1" noChangeArrowheads="1"/>
                          </pic:cNvPicPr>
                        </pic:nvPicPr>
                        <pic:blipFill>
                          <a:blip r:embed="rId9" cstate="print"/>
                          <a:srcRect/>
                          <a:stretch>
                            <a:fillRect/>
                          </a:stretch>
                        </pic:blipFill>
                        <pic:spPr bwMode="auto">
                          <a:xfrm>
                            <a:off x="0" y="0"/>
                            <a:ext cx="4362450" cy="68580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6960"/>
            </w:tblGrid>
            <w:tr w:rsidR="00C437BD">
              <w:trPr>
                <w:trHeight w:val="1170"/>
                <w:tblCellSpacing w:w="0" w:type="dxa"/>
              </w:trPr>
              <w:tc>
                <w:tcPr>
                  <w:tcW w:w="6960" w:type="dxa"/>
                  <w:noWrap/>
                  <w:vAlign w:val="bottom"/>
                  <w:hideMark/>
                </w:tcPr>
                <w:p w:rsidR="00C437BD" w:rsidRDefault="00C437BD">
                  <w:pPr>
                    <w:rPr>
                      <w:rFonts w:asciiTheme="minorHAnsi" w:eastAsiaTheme="minorEastAsia" w:hAnsiTheme="minorHAnsi" w:cstheme="minorBidi"/>
                      <w:lang w:eastAsia="sk-SK"/>
                    </w:rPr>
                  </w:pPr>
                </w:p>
              </w:tc>
            </w:tr>
          </w:tbl>
          <w:p w:rsidR="00C437BD" w:rsidRDefault="00C437BD">
            <w:pPr>
              <w:rPr>
                <w:rFonts w:asciiTheme="minorHAnsi" w:eastAsiaTheme="minorEastAsia" w:hAnsiTheme="minorHAnsi" w:cstheme="minorBidi"/>
                <w:lang w:eastAsia="sk-SK"/>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spacing w:line="276" w:lineRule="auto"/>
              <w:rPr>
                <w:color w:val="1F497D"/>
                <w:sz w:val="20"/>
                <w:szCs w:val="20"/>
                <w:lang w:val="en-GB"/>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spacing w:line="276" w:lineRule="auto"/>
              <w:rPr>
                <w:color w:val="1F497D"/>
                <w:sz w:val="20"/>
                <w:szCs w:val="20"/>
                <w:lang w:val="en-GB"/>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rPr>
                <w:rFonts w:asciiTheme="minorHAnsi" w:eastAsiaTheme="minorEastAsia" w:hAnsiTheme="minorHAnsi" w:cstheme="minorBidi"/>
                <w:lang w:eastAsia="sk-SK"/>
              </w:rPr>
            </w:pPr>
          </w:p>
        </w:tc>
      </w:tr>
      <w:tr w:rsidR="00C437BD" w:rsidTr="00C437BD">
        <w:trPr>
          <w:trHeight w:val="300"/>
        </w:trPr>
        <w:tc>
          <w:tcPr>
            <w:tcW w:w="7100" w:type="dxa"/>
            <w:noWrap/>
            <w:tcMar>
              <w:top w:w="0" w:type="dxa"/>
              <w:left w:w="70" w:type="dxa"/>
              <w:bottom w:w="0" w:type="dxa"/>
              <w:right w:w="70" w:type="dxa"/>
            </w:tcMar>
            <w:vAlign w:val="bottom"/>
            <w:hideMark/>
          </w:tcPr>
          <w:p w:rsidR="00C437BD" w:rsidRDefault="00C437BD">
            <w:pPr>
              <w:spacing w:line="276" w:lineRule="auto"/>
              <w:rPr>
                <w:rFonts w:ascii="Times New Roman" w:hAnsi="Times New Roman"/>
                <w:color w:val="1F497D"/>
                <w:sz w:val="20"/>
                <w:szCs w:val="20"/>
                <w:lang w:val="en-GB"/>
              </w:rPr>
            </w:pPr>
          </w:p>
        </w:tc>
      </w:tr>
    </w:tbl>
    <w:p w:rsidR="00C437BD" w:rsidRDefault="00C437BD" w:rsidP="00C437BD">
      <w:pPr>
        <w:rPr>
          <w:lang w:val="en-GB"/>
        </w:rPr>
      </w:pPr>
    </w:p>
    <w:p w:rsidR="00E26D61" w:rsidRDefault="00E26D61"/>
    <w:sectPr w:rsidR="00E26D61" w:rsidSect="00E26D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437BD"/>
    <w:rsid w:val="00452E18"/>
    <w:rsid w:val="00C437BD"/>
    <w:rsid w:val="00C60D2A"/>
    <w:rsid w:val="00E26D6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37BD"/>
    <w:pPr>
      <w:spacing w:after="0" w:line="240" w:lineRule="auto"/>
    </w:pPr>
    <w:rPr>
      <w:rFonts w:ascii="Calibri" w:hAnsi="Calibri" w:cs="Times New Roman"/>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437BD"/>
    <w:rPr>
      <w:color w:val="0563C1"/>
      <w:u w:val="single"/>
    </w:rPr>
  </w:style>
  <w:style w:type="character" w:styleId="PouitHypertextovPrepojenie">
    <w:name w:val="FollowedHyperlink"/>
    <w:basedOn w:val="Predvolenpsmoodseku"/>
    <w:uiPriority w:val="99"/>
    <w:semiHidden/>
    <w:unhideWhenUsed/>
    <w:rsid w:val="00452E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245105">
      <w:bodyDiv w:val="1"/>
      <w:marLeft w:val="0"/>
      <w:marRight w:val="0"/>
      <w:marTop w:val="0"/>
      <w:marBottom w:val="0"/>
      <w:divBdr>
        <w:top w:val="none" w:sz="0" w:space="0" w:color="auto"/>
        <w:left w:val="none" w:sz="0" w:space="0" w:color="auto"/>
        <w:bottom w:val="none" w:sz="0" w:space="0" w:color="auto"/>
        <w:right w:val="none" w:sz="0" w:space="0" w:color="auto"/>
      </w:divBdr>
    </w:div>
    <w:div w:id="21243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eu2016@cvtisr.sk" TargetMode="External"/><Relationship Id="rId3" Type="http://schemas.openxmlformats.org/officeDocument/2006/relationships/webSettings" Target="webSettings.xml"/><Relationship Id="rId7" Type="http://schemas.openxmlformats.org/officeDocument/2006/relationships/hyperlink" Target="http://www.reineu2016.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eu2016.e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reineu2016.eu/" TargetMode="Externa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210</Words>
  <Characters>1201</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paulina.bohmerova</dc:creator>
  <cp:lastModifiedBy>paulina.bohmerova</cp:lastModifiedBy>
  <cp:revision>2</cp:revision>
  <dcterms:created xsi:type="dcterms:W3CDTF">2016-09-16T12:29:00Z</dcterms:created>
  <dcterms:modified xsi:type="dcterms:W3CDTF">2016-09-16T12:49:00Z</dcterms:modified>
</cp:coreProperties>
</file>